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62"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2026</w:t>
      </w:r>
    </w:p>
    <w:p>
      <w:pPr>
        <w:spacing w:after="0" w:line="162"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13"/>
          </w:tcPr>
          <w:p>
            <w:pPr>
              <w:jc w:val="center"/>
              <w:ind w:left="341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tc>
        <w:tc>
          <w:tcPr>
            <w:tcW w:w="3480" w:type="dxa"/>
            <w:vAlign w:val="bottom"/>
          </w:tcPr>
          <w:p>
            <w:pPr>
              <w:spacing w:after="0"/>
              <w:rPr>
                <w:sz w:val="20"/>
                <w:szCs w:val="20"/>
                <w:color w:val="auto"/>
              </w:rPr>
            </w:pPr>
          </w:p>
        </w:tc>
      </w:tr>
      <w:tr>
        <w:trPr>
          <w:trHeight w:val="311"/>
        </w:trPr>
        <w:tc>
          <w:tcPr>
            <w:tcW w:w="7760" w:type="dxa"/>
            <w:vAlign w:val="bottom"/>
            <w:gridSpan w:val="13"/>
          </w:tcPr>
          <w:p>
            <w:pPr>
              <w:jc w:val="center"/>
              <w:ind w:left="341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001-38543</w:t>
            </w:r>
          </w:p>
        </w:tc>
        <w:tc>
          <w:tcPr>
            <w:tcW w:w="3480" w:type="dxa"/>
            <w:vAlign w:val="bottom"/>
          </w:tcPr>
          <w:p>
            <w:pPr>
              <w:spacing w:after="0"/>
              <w:rPr>
                <w:sz w:val="24"/>
                <w:szCs w:val="24"/>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44"/>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1160" w:type="dxa"/>
            <w:vAlign w:val="bottom"/>
            <w:gridSpan w:val="2"/>
          </w:tcPr>
          <w:p>
            <w:pPr>
              <w:spacing w:after="0"/>
              <w:rPr>
                <w:sz w:val="24"/>
                <w:szCs w:val="24"/>
                <w:color w:val="auto"/>
              </w:rPr>
            </w:pPr>
          </w:p>
        </w:tc>
        <w:tc>
          <w:tcPr>
            <w:tcW w:w="3480" w:type="dxa"/>
            <w:vAlign w:val="bottom"/>
          </w:tcPr>
          <w:p>
            <w:pPr>
              <w:spacing w:after="0"/>
              <w:rPr>
                <w:sz w:val="24"/>
                <w:szCs w:val="24"/>
                <w:color w:val="auto"/>
              </w:rPr>
            </w:pPr>
          </w:p>
        </w:tc>
      </w:tr>
      <w:tr>
        <w:trPr>
          <w:trHeight w:val="237"/>
        </w:trPr>
        <w:tc>
          <w:tcPr>
            <w:tcW w:w="7760" w:type="dxa"/>
            <w:vAlign w:val="bottom"/>
            <w:gridSpan w:val="13"/>
          </w:tcPr>
          <w:p>
            <w:pPr>
              <w:jc w:val="center"/>
              <w:ind w:left="33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0"/>
                <w:szCs w:val="20"/>
                <w:color w:val="auto"/>
              </w:rPr>
            </w:pPr>
          </w:p>
        </w:tc>
      </w:tr>
      <w:tr>
        <w:trPr>
          <w:trHeight w:val="364"/>
        </w:trPr>
        <w:tc>
          <w:tcPr>
            <w:tcW w:w="7760" w:type="dxa"/>
            <w:vAlign w:val="bottom"/>
            <w:gridSpan w:val="1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8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69"/>
        </w:trPr>
        <w:tc>
          <w:tcPr>
            <w:tcW w:w="5560" w:type="dxa"/>
            <w:vAlign w:val="bottom"/>
            <w:tcBorders>
              <w:top w:val="single" w:sz="8" w:color="auto"/>
            </w:tcBorders>
            <w:gridSpan w:val="5"/>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gridSpan w:val="2"/>
          </w:tcPr>
          <w:p>
            <w:pPr>
              <w:spacing w:after="0"/>
              <w:rPr>
                <w:sz w:val="14"/>
                <w:szCs w:val="14"/>
                <w:color w:val="auto"/>
              </w:rPr>
            </w:pPr>
          </w:p>
        </w:tc>
        <w:tc>
          <w:tcPr>
            <w:tcW w:w="1340" w:type="dxa"/>
            <w:vAlign w:val="bottom"/>
            <w:tcBorders>
              <w:top w:val="single" w:sz="8" w:color="auto"/>
            </w:tcBorders>
            <w:gridSpan w:val="3"/>
          </w:tcPr>
          <w:p>
            <w:pPr>
              <w:spacing w:after="0"/>
              <w:rPr>
                <w:sz w:val="14"/>
                <w:szCs w:val="14"/>
                <w:color w:val="auto"/>
              </w:rPr>
            </w:pPr>
          </w:p>
        </w:tc>
        <w:tc>
          <w:tcPr>
            <w:tcW w:w="3480" w:type="dxa"/>
            <w:vAlign w:val="bottom"/>
            <w:tcBorders>
              <w:top w:val="single" w:sz="8" w:color="auto"/>
            </w:tcBorders>
          </w:tcPr>
          <w:p>
            <w:pPr>
              <w:jc w:val="center"/>
              <w:ind w:right="205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60" w:type="dxa"/>
            <w:vAlign w:val="bottom"/>
            <w:gridSpan w:val="13"/>
          </w:tcPr>
          <w:p>
            <w:pPr>
              <w:jc w:val="center"/>
              <w:ind w:right="21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05"/>
        </w:trPr>
        <w:tc>
          <w:tcPr>
            <w:tcW w:w="7760" w:type="dxa"/>
            <w:vAlign w:val="bottom"/>
            <w:gridSpan w:val="13"/>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260 Charles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302</w:t>
            </w:r>
          </w:p>
        </w:tc>
        <w:tc>
          <w:tcPr>
            <w:tcW w:w="3480" w:type="dxa"/>
            <w:vAlign w:val="bottom"/>
          </w:tcPr>
          <w:p>
            <w:pPr>
              <w:spacing w:after="0"/>
              <w:rPr>
                <w:sz w:val="24"/>
                <w:szCs w:val="24"/>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11"/>
          </w:tcPr>
          <w:p>
            <w:pPr>
              <w:jc w:val="center"/>
              <w:ind w:right="13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3480" w:type="dxa"/>
            <w:vAlign w:val="bottom"/>
          </w:tcPr>
          <w:p>
            <w:pPr>
              <w:spacing w:after="0"/>
              <w:rPr>
                <w:sz w:val="17"/>
                <w:szCs w:val="17"/>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7760" w:type="dxa"/>
            <w:vAlign w:val="bottom"/>
            <w:gridSpan w:val="13"/>
          </w:tcPr>
          <w:p>
            <w:pPr>
              <w:jc w:val="center"/>
              <w:ind w:left="3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80" w:type="dxa"/>
            <w:vAlign w:val="bottom"/>
          </w:tcPr>
          <w:p>
            <w:pPr>
              <w:spacing w:after="0"/>
              <w:rPr>
                <w:sz w:val="20"/>
                <w:szCs w:val="20"/>
                <w:color w:val="auto"/>
              </w:rPr>
            </w:pPr>
          </w:p>
        </w:tc>
      </w:tr>
      <w:tr>
        <w:trPr>
          <w:trHeight w:val="310"/>
        </w:trPr>
        <w:tc>
          <w:tcPr>
            <w:tcW w:w="6140" w:type="dxa"/>
            <w:vAlign w:val="bottom"/>
            <w:gridSpan w:val="8"/>
          </w:tcPr>
          <w:p>
            <w:pPr>
              <w:jc w:val="center"/>
              <w:ind w:left="5030"/>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7760" w:type="dxa"/>
            <w:vAlign w:val="bottom"/>
            <w:gridSpan w:val="13"/>
          </w:tcPr>
          <w:p>
            <w:pPr>
              <w:jc w:val="center"/>
              <w:ind w:left="33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80" w:type="dxa"/>
            <w:vAlign w:val="bottom"/>
          </w:tcPr>
          <w:p>
            <w:pPr>
              <w:spacing w:after="0"/>
              <w:rPr>
                <w:sz w:val="20"/>
                <w:szCs w:val="20"/>
                <w:color w:val="auto"/>
              </w:rPr>
            </w:pPr>
          </w:p>
        </w:tc>
      </w:tr>
    </w:tbl>
    <w:p>
      <w:pPr>
        <w:spacing w:after="0" w:line="130"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10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9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Wingdings" w:cs="Wingdings" w:eastAsia="Wingdings" w:hAnsi="Wingdings"/>
                <w:sz w:val="18"/>
                <w:szCs w:val="18"/>
                <w:b w:val="1"/>
                <w:bCs w:val="1"/>
                <w:color w:val="auto"/>
              </w:rPr>
              <w:t>o</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520"/>
              <w:spacing w:after="0"/>
              <w:rPr>
                <w:sz w:val="20"/>
                <w:szCs w:val="20"/>
                <w:color w:val="auto"/>
              </w:rPr>
            </w:pPr>
            <w:r>
              <w:rPr>
                <w:rFonts w:ascii="Wingdings" w:cs="Wingdings" w:eastAsia="Wingdings" w:hAnsi="Wingdings"/>
                <w:sz w:val="18"/>
                <w:szCs w:val="18"/>
                <w:b w:val="1"/>
                <w:bCs w:val="1"/>
                <w:color w:val="auto"/>
              </w:rPr>
              <w:t>o</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29"/>
        </w:trPr>
        <w:tc>
          <w:tcPr>
            <w:tcW w:w="300" w:type="dxa"/>
            <w:vAlign w:val="bottom"/>
          </w:tcPr>
          <w:p>
            <w:pPr>
              <w:spacing w:after="0"/>
              <w:rPr>
                <w:sz w:val="20"/>
                <w:szCs w:val="20"/>
                <w:color w:val="auto"/>
              </w:rPr>
            </w:pPr>
            <w:r>
              <w:rPr>
                <w:rFonts w:ascii="Wingdings" w:cs="Wingdings" w:eastAsia="Wingdings" w:hAnsi="Wingdings"/>
                <w:sz w:val="18"/>
                <w:szCs w:val="18"/>
                <w:b w:val="1"/>
                <w:bCs w:val="1"/>
                <w:color w:val="auto"/>
              </w:rPr>
              <w:t>x</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520"/>
              <w:spacing w:after="0"/>
              <w:rPr>
                <w:sz w:val="20"/>
                <w:szCs w:val="20"/>
                <w:color w:val="auto"/>
              </w:rPr>
            </w:pPr>
            <w:r>
              <w:rPr>
                <w:rFonts w:ascii="Wingdings" w:cs="Wingdings" w:eastAsia="Wingdings" w:hAnsi="Wingdings"/>
                <w:sz w:val="18"/>
                <w:szCs w:val="18"/>
                <w:b w:val="1"/>
                <w:bCs w:val="1"/>
                <w:color w:val="auto"/>
              </w:rPr>
              <w:t>x</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Smaller reporting company</w:t>
            </w:r>
          </w:p>
        </w:tc>
      </w:tr>
      <w:tr>
        <w:trPr>
          <w:trHeight w:val="234"/>
        </w:trPr>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0" w:type="dxa"/>
            <w:vAlign w:val="bottom"/>
          </w:tcPr>
          <w:p>
            <w:pPr>
              <w:ind w:left="1520"/>
              <w:spacing w:after="0"/>
              <w:rPr>
                <w:sz w:val="20"/>
                <w:szCs w:val="20"/>
                <w:color w:val="auto"/>
              </w:rPr>
            </w:pPr>
            <w:r>
              <w:rPr>
                <w:rFonts w:ascii="Wingdings" w:cs="Wingdings" w:eastAsia="Wingdings" w:hAnsi="Wingdings"/>
                <w:sz w:val="18"/>
                <w:szCs w:val="18"/>
                <w:b w:val="1"/>
                <w:bCs w:val="1"/>
                <w:color w:val="auto"/>
              </w:rPr>
              <w:t>o</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Emerging growth company</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18,765,075 common shares as of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0" w:type="dxa"/>
            <w:vAlign w:val="bottom"/>
            <w:gridSpan w:val="7"/>
            <w:shd w:val="clear" w:color="auto" w:fill="CCEEFF"/>
          </w:tcPr>
          <w:p>
            <w:pPr>
              <w:jc w:val="center"/>
              <w:ind w:right="286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40" w:type="dxa"/>
            <w:vAlign w:val="bottom"/>
            <w:shd w:val="clear" w:color="auto" w:fill="CCEEFF"/>
          </w:tcPr>
          <w:p>
            <w:pPr>
              <w:spacing w:after="0"/>
              <w:rPr>
                <w:sz w:val="18"/>
                <w:szCs w:val="18"/>
                <w:color w:val="auto"/>
              </w:rPr>
            </w:pPr>
          </w:p>
        </w:tc>
      </w:tr>
      <w:tr>
        <w:trPr>
          <w:trHeight w:val="270"/>
        </w:trPr>
        <w:tc>
          <w:tcPr>
            <w:tcW w:w="116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r>
      <w:tr>
        <w:trPr>
          <w:trHeight w:val="189"/>
        </w:trPr>
        <w:tc>
          <w:tcPr>
            <w:tcW w:w="1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80" w:type="dxa"/>
            <w:vAlign w:val="bottom"/>
            <w:tcBorders>
              <w:bottom w:val="single" w:sz="8" w:color="CCEEFF"/>
            </w:tcBorders>
            <w:gridSpan w:val="4"/>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0" w:type="dxa"/>
            <w:vAlign w:val="bottom"/>
            <w:gridSpan w:val="7"/>
            <w:shd w:val="clear" w:color="auto" w:fill="CCEEFF"/>
          </w:tcPr>
          <w:p>
            <w:pPr>
              <w:jc w:val="center"/>
              <w:ind w:right="286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240" w:type="dxa"/>
            <w:vAlign w:val="bottom"/>
            <w:shd w:val="clear" w:color="auto" w:fill="CCEEFF"/>
          </w:tcPr>
          <w:p>
            <w:pPr>
              <w:spacing w:after="0"/>
              <w:rPr>
                <w:sz w:val="18"/>
                <w:szCs w:val="18"/>
                <w:color w:val="auto"/>
              </w:rPr>
            </w:pPr>
          </w:p>
        </w:tc>
      </w:tr>
      <w:tr>
        <w:trPr>
          <w:trHeight w:val="270"/>
        </w:trPr>
        <w:tc>
          <w:tcPr>
            <w:tcW w:w="116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r>
      <w:tr>
        <w:trPr>
          <w:trHeight w:val="209"/>
        </w:trPr>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500" w:type="dxa"/>
            <w:vAlign w:val="bottom"/>
            <w:tcBorders>
              <w:bottom w:val="single" w:sz="8" w:color="CCEEFF"/>
            </w:tcBorders>
            <w:gridSpan w:val="12"/>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8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189"/>
        </w:trPr>
        <w:tc>
          <w:tcPr>
            <w:tcW w:w="11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500" w:type="dxa"/>
            <w:vAlign w:val="bottom"/>
            <w:tcBorders>
              <w:top w:val="single" w:sz="8" w:color="CCEEFF"/>
            </w:tcBorders>
            <w:gridSpan w:val="5"/>
          </w:tcPr>
          <w:p>
            <w:pPr>
              <w:spacing w:after="0"/>
              <w:rPr>
                <w:sz w:val="16"/>
                <w:szCs w:val="16"/>
                <w:color w:val="auto"/>
              </w:rPr>
            </w:pPr>
          </w:p>
        </w:tc>
        <w:tc>
          <w:tcPr>
            <w:tcW w:w="124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0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Mine Safety Disclosure</w:t>
            </w:r>
          </w:p>
        </w:tc>
        <w:tc>
          <w:tcPr>
            <w:tcW w:w="7140" w:type="dxa"/>
            <w:vAlign w:val="bottom"/>
            <w:tcBorders>
              <w:bottom w:val="single" w:sz="8" w:color="CCEEFF"/>
            </w:tcBorders>
            <w:gridSpan w:val="10"/>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189"/>
        </w:trPr>
        <w:tc>
          <w:tcPr>
            <w:tcW w:w="1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8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8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included in this Form 10-Q are as follows:</w:t>
      </w:r>
    </w:p>
    <w:p>
      <w:pPr>
        <w:spacing w:after="0" w:line="225" w:lineRule="exact"/>
        <w:rPr>
          <w:sz w:val="20"/>
          <w:szCs w:val="20"/>
          <w:color w:val="auto"/>
        </w:rPr>
      </w:pPr>
    </w:p>
    <w:p>
      <w:pPr>
        <w:ind w:left="1500" w:hanging="801"/>
        <w:spacing w:after="0"/>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Condensed Consolidated Balance Sheets as of March 31, 2026 (unaudited)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500" w:hanging="801"/>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Condensed Consolidated Statements of Operations for the Three Months Ended March 31,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1500" w:hanging="801"/>
        <w:spacing w:after="0" w:line="24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Condensed Consolidated Statements of Changes in Stockholders’ Equity for the Three Months Ended March 31, 2026 and 2025 (unaudited);</w:t>
      </w:r>
    </w:p>
    <w:p>
      <w:pPr>
        <w:spacing w:after="0" w:line="1" w:lineRule="exact"/>
        <w:rPr>
          <w:sz w:val="20"/>
          <w:szCs w:val="20"/>
          <w:color w:val="auto"/>
        </w:rPr>
      </w:pPr>
    </w:p>
    <w:p>
      <w:pPr>
        <w:ind w:left="1500" w:hanging="801"/>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Condensed Consolidated Statements of Cash Flows for the Three Months Ended March 31, 2026 and 2025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500" w:hanging="801"/>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2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$260 at March 31, 2026 and December 31, 2025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64,715</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Patent rights,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Technology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29,340</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Security deposits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110,992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112,097</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share payable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21,264</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48,624</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11)</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at March 31, 2026 and</w:t>
            </w:r>
          </w:p>
        </w:tc>
        <w:tc>
          <w:tcPr>
            <w:tcW w:w="20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2025</w:t>
            </w:r>
          </w:p>
        </w:tc>
        <w:tc>
          <w:tcPr>
            <w:tcW w:w="2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$0.001 par value, 166,666,667 shares authorized, 20,506,472 and 20,500,986 shares issued at March 31,</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$0.001 par value, 1,741,397 shares held at March 31, 2026 and December 31, 2025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207,512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(79,236)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128,294</w:t>
            </w: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176,918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18,761,622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18,470,808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18,470,808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Loss per share – basic</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16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2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21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Paid in</w:t>
            </w:r>
          </w:p>
        </w:tc>
        <w:tc>
          <w:tcPr>
            <w:tcW w:w="160" w:type="dxa"/>
            <w:vAlign w:val="bottom"/>
          </w:tcPr>
          <w:p>
            <w:pPr>
              <w:spacing w:after="0"/>
              <w:rPr>
                <w:sz w:val="14"/>
                <w:szCs w:val="14"/>
                <w:color w:val="auto"/>
              </w:rPr>
            </w:pPr>
          </w:p>
        </w:tc>
        <w:tc>
          <w:tcPr>
            <w:tcW w:w="140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(1,741,397)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128,294</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options 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 restricted stock units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(1,741,397)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16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2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21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Paid in</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(1,741,397)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For restricted stock units</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50"/>
        </w:trPr>
        <w:tc>
          <w:tcPr>
            <w:tcW w:w="216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20,234,186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(1,741,397)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 and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23"/>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OptimizeRx Corporation and its wholly owned subsidiaries (collectively, “OptimizeRx”, the “Company”, “we”, “our”, or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is a digital healthcare technology company that connects over two million healthcare professionals (“HCPs”) and millions of their patients through an intelligent technology platform embedded within a proprietary omnichannel network. OptimizeRx helps life science organizations engage and support their customers through our combined HCP and direct-to-consumer (“DTC”) marketing strategies.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months ended March 31, 2026 and 2025 have been prepared by us without audit pursuant to the rules and regulations of the U.S. Securities and Exchange Commission (“SEC”). In the opinion of management, all adjustments necessary to present fairly our financial position at March 31, 2026, and our results of operations, changes in stockholders’ equity, and cash flows for the three months ended March 31, 2026 and 2025, have been made. Those adjustments consist of normal and recurring adjustments. The condensed consolidated balance sheet as of December 31, 2025, has been derived from the audited consolidated balance sheet as of that date. We operate a single reporting segment and, accordingly, use our consolidated net income (loss) as our measure of profit and loss and it is not presented separately here.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in our unaudited condensed consolidated financial statements and notes thereto to conform to current year presentation.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 disclosures, including a detailed discussion about the Company’s significant accounting policies, normally included in our annual consolidated financial statements prepared in accordance with United States (“U.S.”) generally accepted accounting principles (“GAAP”) have been condensed or omitted. These condensed consolidated financial statements should be read in conjunction with a reading of the consolidated financial statements and notes thereto included in our Annual Report on Form 10-K for the fiscal year ended December 31, 2025, as filed with the SEC on March 12,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results to be expected for the full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Marketing</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Sales and marketing expense consists primarily of labor costs, including salaries, benefits, bonuses and commission costs for our sales and marketing personnel, as well as outside services costs. Sales and marketing expense also includes costs for advertising, promotional and other marketing activities, as well as certain fees paid to various third-party partners for sales and lead generation.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labor costs, including salaries and benefits for our executive, finance, legal, compliance, information technology security, human resources, and other administrative personnel, as well as outside services costs. General and administrative expense also includes software costs to support our finance, legal and human resources operations, insurance costs as well as fees to third-party providers for accounting, legal and consulting services, costs for various non income-based taxes and software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costs to develop our products and services that do not meet the criteria for capitalization as internal-use software. These costs consist primarily of labor costs, including salaries and benefits for our development personnel, as well as outside services costs. Research and development expense also includes third-party partner fees and third-party consulting fees.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one reportable segment and use consolidated net income (loss) as our measure of segment profit and loss. Overall, our business involves connecting life sciences companies to patients and providers. We have a common customer base of life sciences customers geographically located in the U.S. for all of our solutions, which primarily focus on all communications between our life sciences customers and with healthcare providers or patients. We do not prepare separate internal income statements by solution as our focus is on selling enterprise arrangements covering multiple solutions that span the entire patient journey with a specific brand.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condensed consolidated statement of operations as consolidated net income (loss). The measure of segment assets is reported on the condensed consolidated balance sheets as total assets.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CODM uses consolidated net income (loss) to evaluate the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condensed consolidated statement of operations for segment expenses, of which the significant expenses are related to cost of revenues, exclusive of depreciation and amortization, sales and marketing, general and administrative, research and development, stock-based compensation and depreciation and amortization. Since we operate as a single reportable segment, the measure of segment profit or loss and related financial information is consistent with the amounts presented in the condensed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carrying amounts of financial instruments, including cash and cash equivalents, accounts receivable, accounts payable, and other current liabilities, approximate their fair values due to their short maturities.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RECENTLY ISSUED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ASU 2024-03 requires that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(“ASU 2025-06”), ASU No. 2025-06, </w:t>
      </w:r>
      <w:r>
        <w:rPr>
          <w:rFonts w:ascii="Times New Roman" w:cs="Times New Roman" w:eastAsia="Times New Roman" w:hAnsi="Times New Roman"/>
          <w:sz w:val="18"/>
          <w:szCs w:val="18"/>
          <w:i w:val="1"/>
          <w:iCs w:val="1"/>
          <w:color w:val="auto"/>
        </w:rPr>
        <w:t>Intangibles—Goodwill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Targeted Improvements to the Accounting for Internal-Use Software</w:t>
      </w:r>
      <w:r>
        <w:rPr>
          <w:rFonts w:ascii="Times New Roman" w:cs="Times New Roman" w:eastAsia="Times New Roman" w:hAnsi="Times New Roman"/>
          <w:sz w:val="18"/>
          <w:szCs w:val="18"/>
          <w:color w:val="auto"/>
        </w:rPr>
        <w:t>.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ASU 2025-11 clarifies interim disclosure requirements and the applicability of Topic 270. The objective of the amendments is to provide further clarity about the current interim disclosure requirements. This authoritative guidance is effective for interim reporting periods within annual reporting periods beginning after December 15, 2027. Adoption of this ASU can be applied either on a prospective or a retrospective basis. Early adoption is permitted. The Company is currently evaluating the effect of this new guidance on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ASU 2025-12 addresses thirty-three items, representing the changes to the Codification that (1) clarify, (2) correct errors, or (3) make minor improvements. Generally, the amendments in this Update are not intended to result in significant changes for most entities. This authoritative guidance is effective for interim reporting periods within annual reporting periods beginning after December 15, 2026. The adoption method of this ASU may vary, on an issue-by-issue basis. Early adoption is permitted. The Company is currently evaluating the effect of this new guidance on its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CASH, CASH EQUIVALENTS AND SHORT-TERM INVESTMENTS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Accounting Standards Codification (“ASC”) 321-10,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as the shares have a readily determinable fair value quoted on the national stock exchange and are classified within Level 1 of the fair value hierarchy. At March 31, 2026 and December 31, 2025, we have recorded $8,737 and $8,659, respectively, of money market funds at approximate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goodwill is related to the acquisitions of Medicx Health in 2023, EvinceMed in 2022, RMDY Health, Inc. in 2019 and CareSpeak Communications in 2018. Goodwill is not amortizable for financial statement purposes.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is tested for impairment at a reporting segment level at least annually, as of December 31, or on an interim basis if an event occurs or circumstances change. The Company considered indicators of impairment, and there were no triggering events identified, no indication of impairment of the Company's goodwill and no impairment charges recorded during the three months ended March 31, 2026 or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Intangible Assets</w:t>
            </w:r>
          </w:p>
        </w:tc>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Intangible assets included on the condensed consolidated balance sheets consist of the following:</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 2026</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Average Life</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Amortization</w:t>
            </w:r>
          </w:p>
        </w:tc>
        <w:tc>
          <w:tcPr>
            <w:tcW w:w="360" w:type="dxa"/>
            <w:vAlign w:val="bottom"/>
          </w:tcPr>
          <w:p>
            <w:pPr>
              <w:spacing w:after="0"/>
              <w:rPr>
                <w:sz w:val="21"/>
                <w:szCs w:val="21"/>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rights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Average Life</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Amortization</w:t>
            </w:r>
          </w:p>
        </w:tc>
        <w:tc>
          <w:tcPr>
            <w:tcW w:w="360" w:type="dxa"/>
            <w:vAlign w:val="bottom"/>
          </w:tcPr>
          <w:p>
            <w:pPr>
              <w:spacing w:after="0"/>
              <w:rPr>
                <w:sz w:val="21"/>
                <w:szCs w:val="21"/>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rights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impairment charges of $0 in the three months ended March 31, 2026 and $368 against the value of our intangible assets during the year ended December 31, 2025. In 2023, the Company licensed certain technology to a customer under a two-year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within the condensed consolidated statements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$1,043 and $1,067 in the three months ended March 31, 2026 and 2025, respectively. Expected future amortization expense of the intangible assets as of March 31, 2026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 (remainder)</w:t>
            </w:r>
          </w:p>
        </w:tc>
        <w:tc>
          <w:tcPr>
            <w:tcW w:w="65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30"/>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6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6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6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6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60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21,722</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6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60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NOTE 5 - LONG-TERM DEBT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comprised of the following at March 31, 2026 and December 31, 2025: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3"/>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2029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21,421</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11, 2023, the Company entered into a Financing Agreement (the “Financing Agreement”) which provided for a term loan (the “Term Loan”) of $40,000, the net proceeds of which were used to partially finance the Medicx Health transaction. In connection with the Term Loan the Company incurred issuance costs of approximately $2,270, which were capitalized and are being amortized to interest expense over the life of the Term Loan. Amortization of debt issuance costs for the three months ended March 31, 2026 and 2025 was $358 and $174,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Term Loan are secured by all of the Company’s and its subsidiaries’ assets (including a pledge of all of the capital stock and equity interests of its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prepay, subject to an Applicable Premium (as defined in the Financing Agreement),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is required to make a mandatory prepayment on March 31, of each year, commencing with 2025, equivalent to Excess Cash Flow (as defined above) multiplied by a percentage factor of 25%, if the leverage ratio is 3.60 to 1.00 or less, 50% if the leverage ratio is greater than 3.60 to 1.00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(loss) in the calculation of Consolidated EBITDA, adjusted for any increase/decrease in working capital during the fiscal year. During the three months ended March 31, 2026 and 2025, the Company made total Excess Cash Flow payments of $2,191 and $0,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2026, the Company entered into Amendment No. 4 to the Financing Agreement (the “Amendment No. 4”). The purpose of Amendment No. 4 was to (i) extend the maturity date of the Financing Agreement by two years to October 11, 2029, (ii) permit the Company to repurchase shares of its outstanding common stock in one or more transactions prior to March 15, 2027, in an aggregate amount not to exceed $10,000, and (iii) extend the period during which a 1% applicable premium applies under the Financing Agreement through October 11,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made total principal repayments of $2,691 and $500,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Company’s option the Term Loan, or any portion thereof bears interest at either: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LONG-TERM DEBT (CONTINUED)</w:t>
      </w:r>
    </w:p>
    <w:p>
      <w:pPr>
        <w:spacing w:after="0" w:line="333" w:lineRule="exact"/>
        <w:rPr>
          <w:sz w:val="20"/>
          <w:szCs w:val="20"/>
          <w:color w:val="auto"/>
        </w:rPr>
      </w:pPr>
    </w:p>
    <w:p>
      <w:pPr>
        <w:jc w:val="both"/>
        <w:ind w:left="660" w:hanging="328"/>
        <w:spacing w:after="0" w:line="26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(a) 4.00% per annum, (b) the Federal Funds Rate plus 0.50% per annum, (c) the one month Secured Overnight Financing Rate (“SOFR”), plus an adjustment of 26 basis point and 1.00% per annum, and (d) the rate last quoted by The Wall Street Journal as the “Prime Rate”, plus an Applicable Margin of 7.5%;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Three-month SOFR plus an adjustment of 26 basis points and an Applicable Margin of 8.5%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Term Loan bears interest at 12.4%, with an effective interest rate of 19.5% for the three months ended March 31, 2026, including the impact of amortization of debt issuance costs.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requires the Company to maintain certain maximum leverage ratios and Liquidity (as defined in the Financing Agreement), of at least $5,000.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as of March 31,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Payments due on the Term Loan in each of the next four years subsequent to March 31, 2026, are as follows: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2"/>
        </w:trPr>
        <w:tc>
          <w:tcPr>
            <w:tcW w:w="9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18,098</w:t>
            </w:r>
          </w:p>
        </w:tc>
      </w:tr>
      <w:tr>
        <w:trPr>
          <w:trHeight w:val="248"/>
        </w:trPr>
        <w:tc>
          <w:tcPr>
            <w:tcW w:w="9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operating leases with terms greater than 12 months for office space in four multi-tenant facilities, which are recorded as operating lease right-of-use assets and operating lease liabilities within the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Company’s lease cost consists of the following components, each of which is included in general and administrative expenses within the condensed consolidated statements of operations:</w:t>
      </w:r>
    </w:p>
    <w:p>
      <w:pPr>
        <w:spacing w:after="0" w:line="19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18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 (1)</w:t>
            </w:r>
          </w:p>
        </w:tc>
        <w:tc>
          <w:tcPr>
            <w:tcW w:w="108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8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80" w:hanging="246"/>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 includes any lease with a term of less than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LEASES (CONTINUED)</w:t>
      </w:r>
    </w:p>
    <w:p>
      <w:pPr>
        <w:spacing w:after="0" w:line="200" w:lineRule="exact"/>
        <w:rPr>
          <w:sz w:val="20"/>
          <w:szCs w:val="20"/>
          <w:color w:val="auto"/>
        </w:rPr>
      </w:pPr>
    </w:p>
    <w:p>
      <w:pPr>
        <w:spacing w:after="0" w:line="20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in each of the remainder of the current and next four fiscal years and thereafter: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0"/>
        </w:trPr>
        <w:tc>
          <w:tcPr>
            <w:tcW w:w="9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7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
        </w:trPr>
        <w:tc>
          <w:tcPr>
            <w:tcW w:w="9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at March 31, 2026 for the operating leases is 2.0 years, and the weighted average discount rate used in calculating the operating lease asset and liability is 3.31%. Cash paid for amounts included in the measurement of lease liabilities was $54 and $60 for the three months ended March 31, 2026 and 2025, respectively. For the three months ended March 31, 2026 and 2025, payments on lease obligations were $63 and $68, respectively, and amortization on the right of use assets was $60 and $62,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10,000,000 shares of preferred stock, $0.001 par value per share, authorized as of March 31, 2026. No shares were issued or outstanding in the three months ended March 31, 2026 and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166,666,667 shares of common stock, $0.001 par value per share, authorized as of March 31, 2026. There were 18,765,075 and 18,759,589 shares of common stock outstanding, net of shares held in treasury of 1,741,397 and 1,741,397 at March 31, 2026 and December 31, 2025,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1,264 shares of our common stock and received no proceeds in connection with the exercise of options under our 2013 Incentive Plan (the “2013 Plan”) or our 2021 Equity Incentive Plan (the “2021 Plan”). During the three months ended March 31, 2025, the Company issued no shares of our common stock and received no proceeds in connection with the exercise of options under our 2013 Plan or our 2021 Plan.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4,222 shares of our common stock in the three months ended March 31, 2026, in connection with the vesting of restricted stock units under our 2013 Plan and our 2021 Plan. The Company issued 39,489 shares of common stock in the three months ended March 31, 2025, in connection with the vesting of restricted stock units under our 2013 Plan and our 2021 Plan. Some of the participants utilized a net withhold settlement method, in which shares were surrendered to cover tax withholdings. Of the shares issued to participants during the three months ended March 31, 2026 and 2025, respectively, 2,112 and 14,038 shares, valued at $17 and $87, were surrendered and subsequently cancelled.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 Board of Directors of the Company (the “Board”) authorized a share repurchase program, under which the Company could repurchase up to $10,000 of its outstanding common stock. This stock repurchase authorization expires on the earlier of March 15, 2027 or when the repurchase of $10,000 of shares has been reached.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quarters ended March 31, 2026 and 2025, the Company did not repurchase any of its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two stock-based incentive compensation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plan is known as the 2013 Plan and was established by the Board in June 2013. The 2013 Plan, as amended, authorized the issuance of 3,000,000 shares of Company common stock. The amended 2013 Plan was approved by stockholders. In connection with the adoption of a new plan in 2021, the Company froze the 2013 Plan. A total of 55,500 shares of common stock underlying options and 0 shares of common stock underlying restricted stock unit awards were outstanding at March 31, 2026. At March 31, 2026, there were no shares available for grant under the 2013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adopted a new plan known as the 2021 Plan. The 2021 Plan was established by the Board and approved by stockholders in August 2021. On June 5, 2024, at the 2024 Annual Meeting of Stockholders, the Company's stockholders approved an amendment to the 2021 Plan to increase the number of shares of common stock available for awards under the 2021 Plan by 1,950,000 shares for a total of 4,450,000 shares. A total of 2,218,221 shares of common stock underlying options and 705,452 shares of common stock underlying restricted stock unit awards were outstanding at March 31, 2026. At March 31, 2026, 561,165 shares were available for grant under the 2021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cost that has been charged against income related to options for the three months ended March 31, 2026 and 2025 was $805 and $579, respectively. There is $6,752 of expense remaining to be recognized over a weighted average period of 2.21 years related to options outstanding at March 31, 2026. No income tax benefit was recognized in the consolidated statements of operations and no compensation was capitalized in any of the years presented. The total intrinsic value of outstanding options at March 31, 2026 was $848. The fair value of these instruments was calculated using the Black-Scholes option pricing model.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certain performance-based stock options, the expense for which will be recorded over time once the achievement of the performance is deemed probable. There was $0 and $8 in expense related to these options recorded during the three months ended March 31, 2026 and 2025, respectively. The fair value of these instruments was calculated using the Black-Scholes option pricing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compensation expense of $1,023 and $979 for the three months ended March 31, 2026 and 2025, respectively, related to restricted stock units. A total of $5,971 remains to be recognized at March 31, 2026 over a weighted average period of 2.05 years. The fair value of these instruments is based on the closing price of our common stock as reported on the Nasdaq Capital Market on the date of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certain participants utilized a net withhold settlement method, in which shares were surrendered to cover tax withholdings. Of the shares issued to participants during the three months ended March 31, 2026 and 2025, respectively, 2,112 and 14,038 shares, valued at $17 and $87, were surrendered and subsequently cancelled.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granted certain performance-based restricted stock units, the expense for which will be recorded over time once the achievement of the performance is deemed probable. There was $0 and $8 in expense related to these restricted stock units recorded during the three months ended March 31, 2026 and 2025, respectively. The fair value of these instruments is based on the closing price of our common stock as reported on the Nasdaq Capital Market on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Non-employee Directors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compensation program calls for the grant of restricted stock units with a one year vesting period. The Company granted no restricted stock units to the non-employee directors during the three months ended March 31, 2026 and 2025. There was $184 and $173 included in the compensation expense discussed above related to director’s compensation for the three months ended March 31, 2026 and 2025,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REVENUES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recognition of revenue requires evidence of a contract, probable collection of proceeds, and completion of substantially all performance obligations. We use a 5-step model to recognize revenue: (1) identify the contract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certain contracts which are satisfied at a point in time, primarily for consulting projects or NPI data target lists. For such contracts, we recognize revenue upon delivery of the related data, study or report.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contracts generally all have terms of less than one year and the primary performance obligation is delivery of messages, or our forms of content, but the contract may contain additional services. As a practical expedient, the Company does not adjust the transaction price for the effects of a significant financing component if, at contract inception, the period between client payment and the transfer of goods or services is expected to be one year or less. The Company has also elected the practical expedient within ASC 606 and does not disclose information related to remaining performance obligations for contracts recognized with an original expected duration of one year or less.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December 31, 2025 and during the first three months of 2026, there were two and three, respectively, contracts with customers that included a rebate clause.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 Software as a Service, the revenue is recognized over the subscription period as services are delivered to the customer.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instances, the Company also resells messaging solutions that are available through channel partners that are complementary to the HCP marketing business and customer base. These partner specific solutions are frequently similar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REVENUES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our own solutions and revenue recognition for these programs is the same as described above. In instances where the Company sells solutions on a commission basis, net revenue is recognized based on the commission-based revenue split. In instances where we resell these messaging solutions and have all financial risk and significant operation input and risk, we record the revenue based on the gross amount sold and the amount paid to the channel partner as a cost of revenues. The amount of revenue recognized on a net basis was $4,018 and $3,373 for the three months ended March 31, 2026 and 2025,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Deferred revenue was $669 and $503 as of March 31, 2026 and December 31, 2025, respectively. These contracts are all short term in nature and all revenue is expected to be recognized within 12 months, or less. The following is a summary of activity in the deferred revenue account:</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collected</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ASC 606, we have disaggregated our revenue by timing of revenue recognition. The majority of our revenue is recognized over time as solutions are provided. A small portion of our revenue related to program development, NPI data lists, and other solutions is recognized at a point in time upon delivery to customers. A break down is set forth in the table below.</w:t>
      </w:r>
    </w:p>
    <w:p>
      <w:pPr>
        <w:spacing w:after="0" w:line="20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credit losses, which is estimated and recorded in the period the related revenue is recorded. Sales to customers are initiated through a purchase order and are governed by our standard terms and conditions, written agreements, or both. Payment terms are generally 30 days and do not extend beyond 90 days.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REVENUES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for the three months ended March 31, 2026 and 2025, were as follows:</w:t>
      </w:r>
    </w:p>
    <w:p>
      <w:pPr>
        <w:spacing w:after="0" w:line="2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record revenue based on our revenue recognition policies in advance of being able to invoice the customer. Included in accounts receivable are unbilled amounts of $4,709 and $3,943 at March 31, 2026 and December 31, 2025, respectively. Amounts billed in advance of revenue recognition are presented as deferred revenue on the condensed consolidated balance sheets. The accounts receivable balance as of December 31, 2024 was $38,212.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 As a result, our revenue is subject to some seasonality and has historically been higher during the fourth quarter than during the first, second and third quarters.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 at the time of the acquisition and recorded the patent at that cost. That patent remains in patents rights on the condensed consolidated balance sheets as of March 31, 2026 and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Lang, one of our Board Members, in 2025, stepped down as the CEO, but remains as a director on the board of Eversana, a leading global provider of services to the life sciences industry. Eversana is similar to other customers from which we generate revenue, such as agencies or resellers. During the three months ended March 31, 2026 and 2025, we recognized $153 and $242, respectively, in revenue from contracts engaged with Eversana. These contracts were sourced by Eversana on behalf of its life science customers. The contracts are at market rates, were generated in the normal course of business, and in each instance approved by our Board's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EARNINGS (LOSS)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(“EPS”) is computed using the weighted average number of common shares outstanding during the period. The computation of diluted earnings (loss) per common share is based on the basic weighted average number of shares outstanding during the period plus common stock equivalents, which would arise from the exercise of options and warrants outstanding using the treasury stock method and the average market price per share during the period.</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EARNINGS (LOSS) PER SHARE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p>
      <w:pPr>
        <w:spacing w:after="0" w:line="2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9" w:lineRule="exact"/>
        <w:rPr>
          <w:sz w:val="20"/>
          <w:szCs w:val="20"/>
          <w:color w:val="auto"/>
        </w:rPr>
      </w:pPr>
    </w:p>
    <w:p>
      <w:pPr>
        <w:jc w:val="both"/>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19685</wp:posOffset>
            </wp:positionV>
            <wp:extent cx="19456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right="2360" w:hanging="161"/>
        <w:spacing w:after="0" w:line="271" w:lineRule="auto"/>
        <w:rPr>
          <w:sz w:val="20"/>
          <w:szCs w:val="20"/>
          <w:color w:val="auto"/>
        </w:rPr>
      </w:pPr>
      <w:r>
        <w:rPr>
          <w:rFonts w:ascii="Times New Roman" w:cs="Times New Roman" w:eastAsia="Times New Roman" w:hAnsi="Times New Roman"/>
          <w:sz w:val="18"/>
          <w:szCs w:val="18"/>
          <w:color w:val="auto"/>
        </w:rPr>
        <w:t>Weighted average shares outstanding used in computing loss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right="3080"/>
        <w:spacing w:after="0" w:line="344" w:lineRule="auto"/>
        <w:rPr>
          <w:sz w:val="20"/>
          <w:szCs w:val="20"/>
          <w:color w:val="auto"/>
        </w:rPr>
      </w:pPr>
      <w:r>
        <w:rPr>
          <w:rFonts w:ascii="Times New Roman" w:cs="Times New Roman" w:eastAsia="Times New Roman" w:hAnsi="Times New Roman"/>
          <w:sz w:val="18"/>
          <w:szCs w:val="18"/>
          <w:color w:val="auto"/>
        </w:rPr>
        <w:t>Effect of dilutive stock options, warrants, and stock grants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0"/>
        <w:spacing w:after="0"/>
        <w:tabs>
          <w:tab w:leader="none" w:pos="1040" w:val="left"/>
          <w:tab w:leader="none" w:pos="1580" w:val="left"/>
          <w:tab w:leader="none" w:pos="2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(495)</w:t>
        <w:tab/>
        <w:t>$</w:t>
      </w:r>
      <w:r>
        <w:rPr>
          <w:sz w:val="20"/>
          <w:szCs w:val="20"/>
          <w:color w:val="auto"/>
        </w:rPr>
        <w:tab/>
      </w:r>
      <w:r>
        <w:rPr>
          <w:rFonts w:ascii="Times New Roman" w:cs="Times New Roman" w:eastAsia="Times New Roman" w:hAnsi="Times New Roman"/>
          <w:sz w:val="18"/>
          <w:szCs w:val="18"/>
          <w:color w:val="auto"/>
        </w:rPr>
        <w:t>(2,199)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19456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18,761,622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18,470,808</w:t>
            </w:r>
          </w:p>
        </w:tc>
      </w:tr>
      <w:tr>
        <w:trPr>
          <w:trHeight w:val="241"/>
        </w:trPr>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18,761,622</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18,470,808</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7460" w:space="720"/>
            <w:col w:w="306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common shares potentially issuable upon the exercise of certain options and the vesting of certain restricted stock units that were excluded from the diluted loss per common share calculation are reflected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18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r>
      <w:tr>
        <w:trPr>
          <w:trHeight w:val="22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for the periods ended</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(159,531)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(345,414)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partners to acquire minimum amounts of media, data or messaging capabilities. As of March 31, 2026, the Company had commitments for future minimum payments of $31,293 that will be reflected in cost of revenues during the years from 2026 through 2030. Minimum payments are due in the remainder of 2026 and fiscal 2027, 2028 and 2029 in the amounts of $11,439, $13,644, $5,155 and $1,055,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benefit from income taxes of $149 for the three months ended March 31, 2026, representing an effective tax rate of 23.1%. The effective tax rate for the three months ended March 31, 2026 reflects the impact of certain permanent items, projected decreases in our valuation allowance during the year ended December 31, 2026 and discrete items related to stock based compensation.</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INCOME TAXES (CONTINUED)</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in its federal and state taxing jurisdictions, management concluded that a partial valuation allowance was appropriate as of March 31, 2026. This determination was based on consideration of historical levels of income, projections for future periods, and the significant amount of tax deductions to be generated from the future exercise of stock options. The Company maintains a valuation allowance related to non-qualified stock options and certain state tax credits, as management believes it is more likely than not, based on the weight of available evidence, that these deferred tax assets will not be realized.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benefit from income taxes of $1,073 for the three months ended March 31, 2025, representing an effective tax rate of 32.8%. The effective tax rate for the three months ended March 31, 2025 reflects the impact of certain permanent items and discrete items for the quarter related to projected decreases in our valuation allowance and to stock based compensation.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2025, we had net operating loss carry-forwards for federal income tax purposes of approximately $8,500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SUBSEQUENT EVENTS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7, 2026, the Company completed a debt refinancing and entered into a new credit agreement (the “Credit Agreement”) providing for a $25,000 term loan (“New Term Loan”) and a $10,000 unsecured revolving credit facility.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outstanding principal amount of the New Term Loan is repayable in quarterly installments on the last business day of each fiscal quarter commencing on June 30, 2026, in an amount equal to 1.25% of the principal amount. The outstanding unpaid principal amount of the New Term Loan, and all accrued and unpaid interest thereon, shall be due and payable on the earliest of (i) the fifth anniversary of the closing of the Credit Agreement and funding of the New Term Loan and (ii) the date on which the New Term Loan is declared due and payable pursuant to the terms of the Credit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New Term Loan bears interest between SOFR plus 1.75% and SOFR plus 2.5% based on our total net leverage ratio calculation. Upon the closing of the Credit Agreement, the proceeds from the New Term Loan were used to repay our outstanding Term Loan balance and the Financing Agreement was terminated.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“projects,” “expects,” “anticipates,” “estimates,” “intends,” “strategy,” “plan,” “may,” “will,” “would,” “will be,” “will continue,” “will likely result,” and similar expressions.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(“eRx”) platforms and electronic health record (“EHR”) systems, and agreements with eRx platforms and EHR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strategic activities that may disrupt ongoing business and may involve increased expenses; inability to realize the financial and strategic goals contemplated at the time of a transaction; inability to realize any synergies or other anticipated benefits of an acquisition or that such synergies or benefits may take longer than anticipated to be realized; risk that the integration with an acquired entity may be more costly or difficult than expected; 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 inability to comply with the restrictions in our credit agreement; inability to generate sufficient cash to service debt and fund other obligations; inability to raise capital to grow business on favorable terms or at all;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2025. Moreover, we operate in a rapidly changing and competitive environment. New risk factors emerge from time to time, and it is not possible for management to predict all such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OptimizeRx has historically generated revenue by delivering messages to HCPs via EHR systems and “eRx” platforms using our proprietary network of channel partners. We have gradually expanded our offerings to include audience development, audience creation, and media execution across different messaging types and media distribution channels.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w:t>
      </w: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virtual communication solutions such as our patented Micro-Neighborhood Targeting and our artificial intelligence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“AI”)-powered Dynamic Audience Activation Platform (“DAAP”), which uses sophisticated machine-learning algorithms to find the best audiences in the correct channels at the right time.</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figures are in thousands, except per share data and where the context indicates otherwise.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over 100 pharmaceutical manufacturers as customers, and our revenues are concentrated in these customers. Our top five customers represented approximately 47% and 49% of our revenue for the years ended December 31, 2025 and 2024, respectively. In 2025 and 2024, we had three customers and two customers, respectively, that represented more than 10% of our revenues. Loss or a year over year reduction in sales of one of more of our larger customers, or a loss of one or more of any of the pharmaceutical brands that purchase our solutions, could have a material negative impact on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Unfavorable conditions in the economy may negatively affect the growth of our business and our results of operations. For example, macroeconomic events including persistent inflation, elevated interest rates maintained by the U.S. Federal Reserve, ongoing most favored nations (“MFN”) pricing dynamics and ongoing geopolitical conflicts (including the wars in Ukraine and the Middle East) have contributed to sustained economic uncertainty. The implementation of broad-based U.S. tariffs and retaliatory tariffs by major trading partners in 2025 and 2026 has further disrupted global supply chains and contributed to renewed inflationary pressure in the domestic markets, which may continue over the next twelve months. In addition, continued high levels of employee turnover across the pharmaceutical industry, a slower pace of U.S. drug approvals, and reductions in force and policy shifts at the U.S. Food and Drug Administration and other federal health agencies over the past year have created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2025 revenue”. We previously used “The top 20 pharma companies by 2024 revenue”. As a result of this change, prior periods have been restated for comparative purposes.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manufacturers.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2025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 it also provides investors with a transparent way to chart our progress in penetrating this important customer segment. The decrease in the average of twelve months ended March 31, 2026, as compared to the twelve months ended March 31, 2025, is a result of reduced revenues from the top 20 pharmaceutical manufacturers.</w:t>
      </w:r>
    </w:p>
    <w:p>
      <w:pPr>
        <w:spacing w:after="0" w:line="2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ind w:left="906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18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Average revenue per top 20 pharmaceutical manufacturers (in thousands)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2,791</w:t>
        <w:tab/>
        <w:t>$</w:t>
      </w:r>
      <w:r>
        <w:rPr>
          <w:sz w:val="20"/>
          <w:szCs w:val="20"/>
          <w:color w:val="auto"/>
        </w:rPr>
        <w:tab/>
      </w:r>
      <w:r>
        <w:rPr>
          <w:rFonts w:ascii="Times New Roman" w:cs="Times New Roman" w:eastAsia="Times New Roman" w:hAnsi="Times New Roman"/>
          <w:sz w:val="17"/>
          <w:szCs w:val="17"/>
          <w:color w:val="auto"/>
        </w:rPr>
        <w:t>2,963</w:t>
      </w:r>
    </w:p>
    <w:p>
      <w:pPr>
        <w:spacing w:after="0" w:line="3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2025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The percent of total revenue attributable to top 20 pharmaceutical manufacturers reflects a combination of a year over year decrease in overall revenue from top 20 pharmaceutical manufacturers and growth in revenue from non-top 20 customers.</w:t>
      </w:r>
    </w:p>
    <w:p>
      <w:pPr>
        <w:spacing w:after="0" w:line="2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ind w:left="896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decline in net revenue retention for the period ending March 31, 2026, is primarily due to a decline in DTC related managed service revenue and lower revenue from the top 20 pharmaceutical manufacturers.</w:t>
      </w:r>
    </w:p>
    <w:p>
      <w:pPr>
        <w:spacing w:after="0" w:line="2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spacing w:after="0" w:line="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retention</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bl>
    <w:p>
      <w:pPr>
        <w:spacing w:after="0" w:line="2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(“FTE”) as total revenue over the last twelve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 employee increased year over year due to revenue growing at a higher rate than the average number of FTEs over the last 12 month period. This is reflective of operational efficiencies gained over the previous twelve months.</w:t>
      </w:r>
    </w:p>
    <w:p>
      <w:pPr>
        <w:spacing w:after="0" w:line="15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Rolling Twelve Months</w:t>
      </w:r>
    </w:p>
    <w:p>
      <w:pPr>
        <w:spacing w:after="0" w:line="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4445</wp:posOffset>
            </wp:positionV>
            <wp:extent cx="1945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180" w:val="left"/>
          <w:tab w:leader="none" w:pos="9300" w:val="left"/>
          <w:tab w:leader="none" w:pos="9760" w:val="left"/>
          <w:tab w:leader="none" w:pos="10880" w:val="left"/>
        </w:tabs>
        <w:rPr>
          <w:sz w:val="20"/>
          <w:szCs w:val="20"/>
          <w:color w:val="auto"/>
        </w:rPr>
      </w:pPr>
      <w:r>
        <w:rPr>
          <w:rFonts w:ascii="Times New Roman" w:cs="Times New Roman" w:eastAsia="Times New Roman" w:hAnsi="Times New Roman"/>
          <w:sz w:val="18"/>
          <w:szCs w:val="18"/>
          <w:color w:val="auto"/>
        </w:rPr>
        <w:t>Revenue per average full-time employee (in thousands)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801</w:t>
        <w:tab/>
        <w:t>$</w:t>
      </w:r>
      <w:r>
        <w:rPr>
          <w:sz w:val="20"/>
          <w:szCs w:val="20"/>
          <w:color w:val="auto"/>
        </w:rPr>
        <w:tab/>
      </w:r>
      <w:r>
        <w:rPr>
          <w:rFonts w:ascii="Times New Roman" w:cs="Times New Roman" w:eastAsia="Times New Roman" w:hAnsi="Times New Roman"/>
          <w:sz w:val="17"/>
          <w:szCs w:val="17"/>
          <w:color w:val="auto"/>
        </w:rPr>
        <w:t>710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sets forth, for the periods indicated, the dollar value and percentage of net revenue represented by certain items in our condensed consolidated statements of operations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80" w:type="dxa"/>
            <w:vAlign w:val="bottom"/>
            <w:tcBorders>
              <w:bottom w:val="single" w:sz="8" w:color="auto"/>
            </w:tcBorders>
          </w:tcPr>
          <w:p>
            <w:pPr>
              <w:spacing w:after="0"/>
              <w:rPr>
                <w:sz w:val="20"/>
                <w:szCs w:val="20"/>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242424"/>
              </w:rPr>
              <w:t>2026</w:t>
            </w: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980" w:type="dxa"/>
            <w:vAlign w:val="bottom"/>
            <w:tcBorders>
              <w:bottom w:val="single" w:sz="8" w:color="auto"/>
            </w:tcBorders>
          </w:tcPr>
          <w:p>
            <w:pPr>
              <w:spacing w:after="0"/>
              <w:rPr>
                <w:sz w:val="19"/>
                <w:szCs w:val="19"/>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109.6 %</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6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ind w:left="20"/>
        <w:spacing w:after="0"/>
        <w:rPr>
          <w:sz w:val="20"/>
          <w:szCs w:val="20"/>
          <w:color w:val="auto"/>
        </w:rPr>
      </w:pPr>
      <w:r>
        <w:rPr>
          <w:rFonts w:ascii="Times New Roman" w:cs="Times New Roman" w:eastAsia="Times New Roman" w:hAnsi="Times New Roman"/>
          <w:sz w:val="18"/>
          <w:szCs w:val="18"/>
          <w:color w:val="auto"/>
        </w:rPr>
        <w:t>* Balances and percentage of net revenue information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-121920</wp:posOffset>
            </wp:positionV>
            <wp:extent cx="9258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-121920</wp:posOffset>
            </wp:positionV>
            <wp:extent cx="9258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revenue decreased 10% to $19,844 for the three months ended March 31, 2026 from $21,928 from the same period in 2025. The decrease in net revenue was primarily attributable to a $3,400 decline in revenue from a low-margin managed service program which represented approximately 9.8% of total revenue in 2025. The Company is no longer actively supporting these types of low-margin managed service contracts. In addition, the Company did not generate revenue during the current period from a customer that accounted for approximately 10% of total revenue in fiscal 2025. While the master service agreement with this customer remains in effect, future revenue is uncertain and may be lower than in prior periods. This decrease is also attributable to some short to intermediate term disruption from prior year Most Favored Nations pricing negotiations and other macroeconomic factors leading to more measured customer spending. These decreases were partially offset by increased spending from new and existing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decreased to $19,448 for the three months ended March 31, 2026 from $24,030 for the same period in 2025, a decrease of approximately 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 by major category is reflected in the next table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cost of revenues, composed primarily of revenue-share expense paid to our channel partners, decreased for the three months ended March 31, 2026 to $4,912 compared to $8,584 for the same period of 2025. Our cost of revenues as a percentage of revenue decreased to approximately 25% for the three months ended March 31, 2026 from approximately 39% for the three months ended March 31, 2025. This improvement in our cost of revenues as a percentage of revenues was primarily a result of solution and channel partner mix. In addition, the prior year period included a large DTC managed service program that operated at lower margins. This program concluded in the third quarter of 2025 and the Company has since shifted its focus toward higher-margin solutions.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remained consistent at $4,729 for the three months ended March 31, 2026 from $4,985 for the three months ended March 31,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decreased to $3,513 for the three months ended March 31, 2026 from $4,557 for the three months ended March 31, 2025. This decrease is primarily a result of cost savings realized across various expense categories as a result of ongoing efficiency initiatives.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remained consistent at $3,402 for the three months ended March 31, 2026 from $3,252 for the three months ended March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increased to $1,828 for the three months ended March 31, 2026 from $1,558 for the three months ended March 31, 2025. The increase in stock-based compensation expense primarily reflects changes in the Company’s stock price, which affects the grant-date fair value of awards. There was also an increase in the quantity of awards granted.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remained consistent at $1,064 for the three months ended March 31, 2026 from $1,094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to $1,155 for the three months ended March 31, 2026 from $1,297 for the three months ended March 31, 2025 and represents interest charges on our Term Loan, together with the amortization of the related issuance costs. The decrease is primarily a result of the decrease in the interest rate on the Term Loan and a lower average principal balance for the three months ended March 31, 2026 as compared to the three months ended March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to $77 for the three months ended March 31, 2026 from $88 for the three months ended March 31, 2025. The variability in interest income is a result of the fluctuation in interest rates as the balance in the Company's money market account has remained consistent.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was approximately $149, or an effective rate of 23.1%, for the three months ended March 31, 2026. Income tax benefit was approximately $1,073, or an effective rate of 32.8%, for the three months ended March 31, 2025. For further information, see Part I, Item I. “Financial Statements; Note 12 —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a net loss of approximately $(495) for the three months ended March 31, 2026, as compared to a net loss of approximately $(2,199) during the same period in 2025. The reasons and specific components associated with the change are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primary sources of liquidity have been cash receipts from customers and proceeds from equity offerings. In addition, on October 11, 2023, the Company entered into a Term Loan of $40,000 in order to partially fund the acquisition of Medicx Health. As of March 31, 2026, the total principal balance outstanding on the Term Loan was approximately $23,598 and we were in compliance with all of the financial covenants of the Term Loan. On March 2, 2026, the maturity date of the Term Loan was extended to October 11, 2029. On May 7, 2026, upon the closing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Agreement, the proceeds from the New Term Loan were used to repay our outstanding Term Loan balance and the Financing Agreement was terminated.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total current assets of $56,165, compared with current liabilities of $10,459, resulting in working capital of $45,706 and a current ratio of 5.4 to 1. This represents a increase from our working capital of $43,451 and an increase from the current ratio of 3.0 to 1 at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will be sufficient to finance our current operations and meet our obligations under the New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 We currently have an effective shelf registration statement, which allows us to issue, from time to time, up to $75,000 of any combination of our common stock, preferred stock, debt securities, warrants, or units.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was effective on March 12, 2026 and will expire on the earlier of March 15, 2027 or when the repurchase of $10,000 of shares has been reached.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table with summary data from the condensed consolidated statements of cash flows for the three months ended March 31, 2026 and 2025, as presented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activities used $467 during the three months ended March 31, 2026, compared with operating activities provided $3,864 in the same period in 2025. The net increase in net cash (used in) provided by operating activities was mainly attributable to a $8,843 increase in cash flows from accrued expenses and other liabilities due to the payout of the prior year variable compensation in the three months ended March 31, 2026. This was partially offset by a $1,704 decrease in net loss, a $1,179 decrease in cash flows from revenue share payable, a $655 decrease in cash flows from deferred tax liabilities and a $312 decrease in cash flows from taxes receivable and payable.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used $21 for the three months ended March 31, 2026, compared with $84 in the same period in 2025. The decrease in net cash used in investing activities was mainly attributed to a decrease in capitalization of internally developed software.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Financing activities used $2,708 during the three months ended March 31, 2026, compared with $587 in the same period in 2025. The increase in net cash used for financing activities was primarily related to the repayment of long-term debt.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Part II, Item 8. “Financial Statements and Supplementary Data; Note 2 - Summary of Significant Accounting Policies” in our Annual Report on Form 10-K for the year ended December 31, 2025. The accounting policies we used in preparing these financial statements are substantially consistent with those we applied in our 2025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included in our 2025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I. “Financial Statements; Note 2 — Recently Issued Accounting Pronouncements” for information on recently adopted accounting standards and new accounting pronouncements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channel partners to acquire minimum amounts of media, data or messaging capabilities. As of March 31, 2026, the Company had commitments with channel partners for future minimum payments of $31,293 that will be reflected in cost of revenues during the remainder of 2026 and years from 2027 through 2030. See Part I, Item 2. “Financial Statements; Note 11 – Commitments and Contingent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ensuring that data received from one third-party service organization were complete and accurate.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address the material weakness referenced above, the Company performed additional analysis and performed other procedures including formalized internal control audits to prepare the condensed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Remediation of Remaining Material Weakness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2025, a material weakness in our internal control over financial reporting was identified which related to controls ensuring that data received from third-party service organizations were complete and accurate and , in 2025, we remediated the material weakness with respect to three third-party service organizations and the material weakness with on third-party service organization remains.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oversight from the Audit Committee,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remediate the remaining material weakness as follows:</w:t>
      </w:r>
    </w:p>
    <w:p>
      <w:pPr>
        <w:spacing w:after="0" w:line="180" w:lineRule="exact"/>
        <w:rPr>
          <w:sz w:val="20"/>
          <w:szCs w:val="20"/>
          <w:color w:val="auto"/>
        </w:rPr>
      </w:pPr>
    </w:p>
    <w:p>
      <w:pPr>
        <w:jc w:val="both"/>
        <w:ind w:left="660" w:hanging="328"/>
        <w:spacing w:after="0" w:line="266"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requires each third-party service organization to provide us, at least annually, a SOC-1 Type 2 audit report, with adequate complimentary user entity controls to ensure the data we received are complete and accurate. We rely upon a SOC-1 Type 2 audit report from each third-party service organization attesting to the its internal controls.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SOC-1 Type 2 audit report is not available, the Company evaluates each third-party’s relevant system(s) and control environment reporting directly through process and control reviews and formal substantive testing of such third-party’s control environment to ensure the data we received are complete and accurate.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 valid SOC-1 Type 2 audit report or perform substantive testing of such third-party’s control environment, the Company implements a third-party qualification and program triaging process, which could include modifying customer contracts, limiting the volume of activity with those third-parties, and implementing additional operational controls to ensure the completeness and accuracy of information received from those third-parties, such as performing tagging procedures where possible.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material weakness will be considered remediated when management concludes through testing, the applicable remediated controls are designed and implemented and operating effectively.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fully implemented and operational, the Company believes the measures described above will remediate the identified material weakness and strengthen the internal controls over financial reporting.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committed to continuing to improve the internal control processes and will continue to review and assess our financial reporting controls and procedures on an ongoing basis. As the Company continues to evaluate and improve the internal controls over financial reporting, management may determine whether it is appropriate or necessary to take additional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above, there was no change in our internal control over financial reporting (as defined in Rule 13a-15(f) under the Exchange Act), that occurred during the quarter ended March 31, 2026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on-going evaluations of its internal controls to enhance, where necessary, its procedures and controls.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the risks previously reported in Part I, Item 1A, “Risk Factors” of our Annual Report on Form 10-K for the year ended December 31, 2025. You should carefully consider the factors discussed in Part I, Item 1A, “Risk Factors” in our Annual Report on Form 10-K for the year ended December 31, 2025,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none of our directors or executive officers adopted or terminated any “Rule 10b5-1 trading arrangement” or “non-Rule 10b5-1 trading arrangement” (as each term is defined in Item 408(a) of Registration S-K).</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May 11, 2026, the Company and Theresa Greco, the Company’s Chief Commercial Officer, agreed to a mutual separation effective June 15, 2026 (the “Separation Date”). Effective as of the Separation Date, Ms. Greco will no longer serve as the Company’s Chief Commercial Officer. The Company expects to enter into a separation and advisory agreement with Ms. Greco, the details of which have not been finally determined at this time. The Company will provide a description of such separation and advisory agreement in a future filing with the Securities and Exchange Commission following its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2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28575</wp:posOffset>
            </wp:positionV>
            <wp:extent cx="7132320" cy="316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6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Articles of Incorporation of OptimizeRx Corporation (the “Company”)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Company’s Registration Statement on Form S-1 (Registration No. 333-155280) filed on November 12, 2008.</w:t>
        </w:r>
      </w:hyperlink>
    </w:p>
    <w:p>
      <w:pPr>
        <w:spacing w:after="0" w:line="14"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Certificate of Correction, dated April 30, 2018. Incorporated by reference to Exhibit 3.5 to the Company’s Annual Report on</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Form 10-K for the year ended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3175</wp:posOffset>
            </wp:positionV>
            <wp:extent cx="713232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66"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Fourth Amended and Restated Bylaws of the Company. Incorporated by reference to Exhibit 3.1 to the Company’s Quarterly</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Report on Form 10-Q for the quarter ended June 30, 2025.</w:t>
        </w:r>
      </w:hyperlink>
    </w:p>
    <w:p>
      <w:pPr>
        <w:spacing w:after="0" w:line="14"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Amendment No. 4 to Financing Agreement, dated March 2, 2026. Incorporated by reference to Exhibit 3.5 to the Company’s</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Annual Report on Form 10-K for the year ended December 31,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3175</wp:posOffset>
            </wp:positionV>
            <wp:extent cx="713232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302 of the Sarbanes-Oxley Act of 2002</w:t>
      </w:r>
    </w:p>
    <w:p>
      <w:pPr>
        <w:spacing w:after="0" w:line="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3175</wp:posOffset>
            </wp:positionV>
            <wp:extent cx="71323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as adopted pursuant to Section 906 of the Sarbanes-Oxley Act of 2002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26035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26035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26035</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280" w:space="640"/>
            <w:col w:w="9300"/>
          </w:cols>
          <w:pgMar w:left="320" w:top="121" w:right="359" w:bottom="1440" w:gutter="0" w:footer="0" w:header="0"/>
        </w:sectPr>
      </w:pPr>
    </w:p>
    <w:p>
      <w:pPr>
        <w:spacing w:after="0" w:line="133" w:lineRule="exact"/>
        <w:rPr>
          <w:sz w:val="20"/>
          <w:szCs w:val="20"/>
          <w:color w:val="auto"/>
        </w:rPr>
      </w:pPr>
    </w:p>
    <w:p>
      <w:pPr>
        <w:ind w:firstLine="8"/>
        <w:spacing w:after="0" w:line="261" w:lineRule="auto"/>
        <w:tabs>
          <w:tab w:leader="none" w:pos="1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or furnished herewith.</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20" w:type="dxa"/>
            <w:vAlign w:val="bottom"/>
            <w:gridSpan w:val="2"/>
          </w:tcPr>
          <w:p>
            <w:pPr>
              <w:ind w:left="520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340" w:type="dxa"/>
            <w:vAlign w:val="bottom"/>
          </w:tcPr>
          <w:p>
            <w:pPr>
              <w:spacing w:after="0"/>
              <w:rPr>
                <w:sz w:val="19"/>
                <w:szCs w:val="19"/>
                <w:color w:val="auto"/>
              </w:rPr>
            </w:pPr>
          </w:p>
        </w:tc>
      </w:tr>
      <w:tr>
        <w:trPr>
          <w:trHeight w:val="234"/>
        </w:trPr>
        <w:tc>
          <w:tcPr>
            <w:tcW w:w="588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Silvestro</w:t>
            </w:r>
          </w:p>
        </w:tc>
      </w:tr>
      <w:tr>
        <w:trPr>
          <w:trHeight w:val="214"/>
        </w:trPr>
        <w:tc>
          <w:tcPr>
            <w:tcW w:w="58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Silvestro</w:t>
            </w:r>
          </w:p>
        </w:tc>
      </w:tr>
      <w:tr>
        <w:trPr>
          <w:trHeight w:val="238"/>
        </w:trPr>
        <w:tc>
          <w:tcPr>
            <w:tcW w:w="588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95"/>
        </w:trPr>
        <w:tc>
          <w:tcPr>
            <w:tcW w:w="11220" w:type="dxa"/>
            <w:vAlign w:val="bottom"/>
            <w:gridSpan w:val="2"/>
          </w:tcPr>
          <w:p>
            <w:pPr>
              <w:ind w:left="520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340" w:type="dxa"/>
            <w:vAlign w:val="bottom"/>
          </w:tcPr>
          <w:p>
            <w:pPr>
              <w:spacing w:after="0"/>
              <w:rPr>
                <w:sz w:val="19"/>
                <w:szCs w:val="19"/>
                <w:color w:val="auto"/>
              </w:rPr>
            </w:pPr>
          </w:p>
        </w:tc>
      </w:tr>
      <w:tr>
        <w:trPr>
          <w:trHeight w:val="234"/>
        </w:trPr>
        <w:tc>
          <w:tcPr>
            <w:tcW w:w="588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214"/>
        </w:trPr>
        <w:tc>
          <w:tcPr>
            <w:tcW w:w="588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Stelmakh</w:t>
            </w:r>
          </w:p>
        </w:tc>
      </w:tr>
      <w:tr>
        <w:trPr>
          <w:trHeight w:val="238"/>
        </w:trPr>
        <w:tc>
          <w:tcPr>
            <w:tcW w:w="588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Title:</w:t>
            </w:r>
          </w:p>
        </w:tc>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&amp; Strategy Officer</w:t>
            </w:r>
          </w:p>
        </w:tc>
      </w:tr>
      <w:tr>
        <w:trPr>
          <w:trHeight w:val="918"/>
        </w:trPr>
        <w:tc>
          <w:tcPr>
            <w:tcW w:w="588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30</w:t>
            </w:r>
          </w:p>
        </w:tc>
        <w:tc>
          <w:tcPr>
            <w:tcW w:w="53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Silvestro, certify that;</w:t>
      </w:r>
    </w:p>
    <w:p>
      <w:pPr>
        <w:spacing w:after="0" w:line="18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OptimizeRx Corp (the “registrant”);</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803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Stephen Silvestro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10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18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OptimizeRx Corp (the “registrant”);</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803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Edward Stelmakh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&amp; Strategy Officer</w:t>
      </w:r>
    </w:p>
    <w:p>
      <w:pPr>
        <w:sectPr>
          <w:pgSz w:w="11900" w:h="16838" w:orient="portrait"/>
          <w:cols w:equalWidth="0" w:num="1">
            <w:col w:w="11240"/>
          </w:cols>
          <w:pgMar w:left="320" w:top="110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March 31, 2026 filed with the Securities and Exchange Commission (the “Report”), I, Stephen Silvestro, Chief Executive Officer and I, Edward Stelmakh, Chief Financial &amp; Strategy Officer of the Company, certify, pursuant to 18 U.S.C. Section 1350, as adopted pursuant to Section 906 of the Sarbanes-Oxley Act of 2002, that:</w:t>
      </w:r>
    </w:p>
    <w:p>
      <w:pPr>
        <w:spacing w:after="0" w:line="13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19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Silvestro</w:t>
            </w:r>
          </w:p>
        </w:tc>
      </w:tr>
      <w:tr>
        <w:trPr>
          <w:trHeight w:val="24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Silvestro</w:t>
            </w:r>
          </w:p>
        </w:tc>
      </w:tr>
      <w:tr>
        <w:trPr>
          <w:trHeight w:val="2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2026</w:t>
            </w:r>
          </w:p>
        </w:tc>
      </w:tr>
      <w:tr>
        <w:trPr>
          <w:trHeight w:val="42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24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Stelmakh</w:t>
            </w:r>
          </w:p>
        </w:tc>
      </w:tr>
      <w:tr>
        <w:trPr>
          <w:trHeight w:val="25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Strategy Officer</w:t>
            </w:r>
          </w:p>
        </w:tc>
      </w:tr>
      <w:tr>
        <w:trPr>
          <w:trHeight w:val="25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2026</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6"/>
      <w:numFmt w:val="bullet"/>
      <w:start w:val="1"/>
    </w:lvl>
  </w:abstractNum>
  <w:abstractNum w:abstractNumId="4">
    <w:nsid w:val="515F007C"/>
    <w:multiLevelType w:val="hybridMultilevel"/>
    <w:lvl w:ilvl="0">
      <w:lvlJc w:val="left"/>
      <w:lvlText w:val="7"/>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62" Type="http://schemas.openxmlformats.org/officeDocument/2006/relationships/hyperlink" Target="https://www.sec.gov/Archives/edgar/data/1448431/000136110608000414/optimizerx_s1-ex0301.htm" TargetMode="External"/><Relationship Id="rId63" Type="http://schemas.openxmlformats.org/officeDocument/2006/relationships/hyperlink" Target="https://www.sec.gov/Archives/edgar/data/1448431/000121390019003962/f10k2018ex3-5_optimizerx.htm" TargetMode="External"/><Relationship Id="rId65" Type="http://schemas.openxmlformats.org/officeDocument/2006/relationships/hyperlink" Target="https://www.sec.gov/Archives/edgar/data/1448431/000144843125000012/fourthamendedrestatedbylaws.htm" TargetMode="External"/><Relationship Id="rId66" Type="http://schemas.openxmlformats.org/officeDocument/2006/relationships/hyperlink" Target="https://www.sec.gov/Archives/edgar/data/1448431/000144843126000005/ex1024amendmentno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2026-05-13T15:18:12Z</dcterms:created>
  <dcterms:modified xsi:type="dcterms:W3CDTF">2026-05-13T15:18:12Z</dcterms:modified>
</cp:coreProperties>
</file>